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EDF39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412240" cy="1315085"/>
            <wp:effectExtent l="0" t="0" r="16510" b="1841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D754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76B8C82">
      <w:pPr>
        <w:pStyle w:val="2"/>
        <w:spacing w:before="287" w:line="193" w:lineRule="auto"/>
        <w:ind w:left="558"/>
        <w:rPr>
          <w:sz w:val="27"/>
          <w:szCs w:val="27"/>
        </w:rPr>
      </w:pPr>
      <w:r>
        <w:rPr>
          <w:b/>
          <w:bCs/>
          <w:sz w:val="27"/>
          <w:szCs w:val="27"/>
        </w:rPr>
        <w:t>CTNNB</w:t>
      </w:r>
      <w:r>
        <w:rPr>
          <w:b/>
          <w:bCs/>
          <w:spacing w:val="7"/>
          <w:sz w:val="27"/>
          <w:szCs w:val="27"/>
        </w:rPr>
        <w:t>1 (D32N)</w:t>
      </w:r>
    </w:p>
    <w:p w14:paraId="4A017930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26303</w:t>
      </w:r>
    </w:p>
    <w:p w14:paraId="58C6A434">
      <w:pPr>
        <w:pStyle w:val="2"/>
        <w:spacing w:before="55" w:line="276" w:lineRule="exact"/>
        <w:ind w:left="556"/>
      </w:pPr>
      <w:r>
        <w:rPr>
          <w:b/>
          <w:bCs/>
          <w:position w:val="3"/>
        </w:rPr>
        <w:t xml:space="preserve">Gene Symbol: </w:t>
      </w:r>
      <w:r>
        <w:rPr>
          <w:position w:val="3"/>
        </w:rPr>
        <w:t>Beta-catenin, CTNNB, Cateni</w:t>
      </w:r>
      <w:r>
        <w:rPr>
          <w:spacing w:val="-1"/>
          <w:position w:val="3"/>
        </w:rPr>
        <w:t>n beta-1</w:t>
      </w:r>
    </w:p>
    <w:p w14:paraId="1E856883">
      <w:pPr>
        <w:pStyle w:val="2"/>
        <w:spacing w:before="102" w:line="190" w:lineRule="auto"/>
        <w:ind w:left="550"/>
      </w:pPr>
      <w:r>
        <w:pict>
          <v:shape id="_x0000_s1027" o:spid="_x0000_s1027" style="position:absolute;left:0pt;margin-left:0.35pt;margin-top:24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Anti-CTNNB1 (D32N) Mouse Monoclonal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ntibody</w:t>
      </w:r>
    </w:p>
    <w:p w14:paraId="5ECC00D4">
      <w:pPr>
        <w:spacing w:before="71"/>
      </w:pPr>
    </w:p>
    <w:p w14:paraId="632774C5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660E0BF2">
      <w:pPr>
        <w:pStyle w:val="2"/>
        <w:spacing w:before="54" w:line="292" w:lineRule="auto"/>
        <w:ind w:left="547" w:right="325" w:firstLine="4"/>
      </w:pPr>
      <w:r>
        <w:rPr>
          <w:b/>
          <w:bCs/>
        </w:rPr>
        <w:t xml:space="preserve">Background: </w:t>
      </w:r>
      <w:r>
        <w:t>CTNNB1 protein is</w:t>
      </w:r>
      <w:r>
        <w:rPr>
          <w:spacing w:val="-1"/>
        </w:rPr>
        <w:t xml:space="preserve"> a dual</w:t>
      </w:r>
      <w:r>
        <w:rPr>
          <w:spacing w:val="8"/>
        </w:rPr>
        <w:t xml:space="preserve"> </w:t>
      </w:r>
      <w:r>
        <w:rPr>
          <w:spacing w:val="-1"/>
        </w:rPr>
        <w:t>function</w:t>
      </w:r>
      <w:r>
        <w:t xml:space="preserve"> protein</w:t>
      </w:r>
      <w:r>
        <w:rPr>
          <w:spacing w:val="3"/>
        </w:rPr>
        <w:t xml:space="preserve">.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subunit</w:t>
      </w:r>
      <w:r>
        <w:rPr>
          <w:spacing w:val="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complex</w:t>
      </w:r>
      <w:r>
        <w:rPr>
          <w:spacing w:val="6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proteins</w:t>
      </w:r>
    </w:p>
    <w:p w14:paraId="50CCBF12">
      <w:pPr>
        <w:pStyle w:val="2"/>
        <w:spacing w:before="36" w:line="310" w:lineRule="auto"/>
        <w:ind w:left="555" w:right="329" w:hanging="6"/>
      </w:pPr>
      <w:r>
        <w:t>that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adherens</w:t>
      </w:r>
      <w:r>
        <w:rPr>
          <w:spacing w:val="-14"/>
        </w:rPr>
        <w:t xml:space="preserve"> </w:t>
      </w:r>
      <w:r>
        <w:t>junctions</w:t>
      </w:r>
      <w:r>
        <w:rPr>
          <w:spacing w:val="2"/>
        </w:rPr>
        <w:t xml:space="preserve">, </w:t>
      </w:r>
      <w:r>
        <w:t>which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important for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establishment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maintenance</w:t>
      </w:r>
      <w:r>
        <w:rPr>
          <w:spacing w:val="2"/>
        </w:rPr>
        <w:t xml:space="preserve"> </w:t>
      </w:r>
      <w:r>
        <w:t>of</w:t>
      </w:r>
    </w:p>
    <w:p w14:paraId="55348C0E">
      <w:pPr>
        <w:pStyle w:val="2"/>
        <w:spacing w:before="1" w:line="304" w:lineRule="auto"/>
        <w:ind w:left="547" w:right="478" w:firstLine="8"/>
      </w:pPr>
      <w:r>
        <w:t>epithelial cell layers by regulating cel</w:t>
      </w:r>
      <w:r>
        <w:rPr>
          <w:spacing w:val="-1"/>
        </w:rPr>
        <w:t>l growth</w:t>
      </w:r>
      <w:r>
        <w:t xml:space="preserve">    and adhesion between adjacent cells. CTNNB1  protein also pulls double duty as</w:t>
      </w:r>
      <w:r>
        <w:rPr>
          <w:spacing w:val="8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in</w:t>
      </w:r>
      <w:r>
        <w:rPr>
          <w:spacing w:val="-1"/>
        </w:rPr>
        <w:t>tracellular</w:t>
      </w:r>
      <w:r>
        <w:t xml:space="preserve"> signal transducer in the Wnt si</w:t>
      </w:r>
      <w:r>
        <w:rPr>
          <w:spacing w:val="-1"/>
        </w:rPr>
        <w:t>gnaling pathway.</w:t>
      </w:r>
      <w:r>
        <w:t xml:space="preserve">  Mutations</w:t>
      </w:r>
      <w:r>
        <w:rPr>
          <w:spacing w:val="9"/>
        </w:rPr>
        <w:t xml:space="preserve"> </w:t>
      </w:r>
      <w:r>
        <w:t>ofCTNNB</w:t>
      </w:r>
      <w:r>
        <w:rPr>
          <w:spacing w:val="9"/>
        </w:rPr>
        <w:t xml:space="preserve">1 </w:t>
      </w:r>
      <w:r>
        <w:t>have</w:t>
      </w:r>
      <w:r>
        <w:rPr>
          <w:spacing w:val="9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implicated</w:t>
      </w:r>
      <w:r>
        <w:rPr>
          <w:spacing w:val="9"/>
        </w:rPr>
        <w:t xml:space="preserve"> </w:t>
      </w:r>
      <w:r>
        <w:t>in  the</w:t>
      </w:r>
      <w:r>
        <w:rPr>
          <w:spacing w:val="3"/>
        </w:rPr>
        <w:t xml:space="preserve"> </w:t>
      </w:r>
      <w:r>
        <w:t>pathogenesis</w:t>
      </w:r>
      <w:r>
        <w:rPr>
          <w:spacing w:val="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several</w:t>
      </w:r>
      <w:r>
        <w:rPr>
          <w:spacing w:val="3"/>
        </w:rPr>
        <w:t xml:space="preserve"> </w:t>
      </w:r>
      <w:r>
        <w:t>cancers</w:t>
      </w:r>
      <w:r>
        <w:rPr>
          <w:spacing w:val="3"/>
        </w:rPr>
        <w:t>.</w:t>
      </w:r>
    </w:p>
    <w:p w14:paraId="0D3E7BFB">
      <w:pPr>
        <w:pStyle w:val="2"/>
        <w:spacing w:before="37" w:line="276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6C199CE2">
      <w:pPr>
        <w:pStyle w:val="2"/>
        <w:spacing w:before="35" w:line="292" w:lineRule="auto"/>
        <w:ind w:left="549" w:right="569" w:firstLine="4"/>
      </w:pPr>
      <w:r>
        <w:t>internal</w:t>
      </w:r>
      <w:r>
        <w:rPr>
          <w:spacing w:val="7"/>
        </w:rPr>
        <w:t xml:space="preserve"> </w:t>
      </w:r>
      <w:r>
        <w:t>region</w:t>
      </w:r>
      <w:r>
        <w:rPr>
          <w:spacing w:val="7"/>
        </w:rPr>
        <w:t xml:space="preserve"> </w:t>
      </w:r>
      <w:r>
        <w:t>ofCTNNB</w:t>
      </w:r>
      <w:r>
        <w:rPr>
          <w:spacing w:val="7"/>
        </w:rPr>
        <w:t xml:space="preserve">1 </w:t>
      </w:r>
      <w:r>
        <w:t>which</w:t>
      </w:r>
      <w:r>
        <w:rPr>
          <w:spacing w:val="7"/>
        </w:rPr>
        <w:t xml:space="preserve"> </w:t>
      </w:r>
      <w:r>
        <w:t>includes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mutation</w:t>
      </w:r>
      <w:r>
        <w:rPr>
          <w:spacing w:val="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 xml:space="preserve">32N,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</w:p>
    <w:p w14:paraId="75D36C01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69B6B995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15D1C3F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662E4ACE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30677157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1262DD2D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46F34111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7F7F63E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1D61D4DB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6CA556E2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3B4FED66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58A2D9F6">
      <w:pPr>
        <w:pStyle w:val="2"/>
        <w:spacing w:before="103" w:line="259" w:lineRule="auto"/>
        <w:ind w:left="547" w:right="561" w:firstLine="11"/>
      </w:pPr>
      <w:r>
        <w:rPr>
          <w:b/>
          <w:bCs/>
        </w:rPr>
        <w:t xml:space="preserve">Species Reactivity: </w:t>
      </w:r>
      <w:r>
        <w:t>Recognizes D3</w:t>
      </w:r>
      <w:r>
        <w:rPr>
          <w:spacing w:val="-1"/>
        </w:rPr>
        <w:t>2N 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CTNNB</w:t>
      </w:r>
      <w:r>
        <w:rPr>
          <w:spacing w:val="2"/>
        </w:rPr>
        <w:t xml:space="preserve">1 </w:t>
      </w:r>
      <w:r>
        <w:t>of</w:t>
      </w:r>
      <w:r>
        <w:rPr>
          <w:spacing w:val="-14"/>
        </w:rPr>
        <w:t xml:space="preserve"> </w:t>
      </w:r>
      <w:r>
        <w:t>vertebrates</w:t>
      </w:r>
      <w:r>
        <w:rPr>
          <w:spacing w:val="2"/>
        </w:rPr>
        <w:t>.</w:t>
      </w:r>
    </w:p>
    <w:p w14:paraId="6C7C9B02">
      <w:pPr>
        <w:pStyle w:val="2"/>
        <w:spacing w:before="103" w:line="259" w:lineRule="auto"/>
        <w:ind w:left="555" w:right="88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2DEA094">
      <w:pPr>
        <w:spacing w:line="55" w:lineRule="exact"/>
      </w:pPr>
    </w:p>
    <w:p w14:paraId="7659561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C3F13A8">
      <w:pPr>
        <w:pStyle w:val="2"/>
        <w:spacing w:before="127" w:line="183" w:lineRule="auto"/>
      </w:pPr>
      <w:r>
        <w:rPr>
          <w:b/>
          <w:bCs/>
          <w:spacing w:val="-1"/>
        </w:rPr>
        <w:t>Western blot:</w:t>
      </w:r>
    </w:p>
    <w:p w14:paraId="18310AF6">
      <w:pPr>
        <w:spacing w:before="235" w:line="3590" w:lineRule="exact"/>
        <w:ind w:firstLine="787"/>
      </w:pPr>
      <w:r>
        <w:rPr>
          <w:position w:val="-71"/>
        </w:rPr>
        <w:drawing>
          <wp:inline distT="0" distB="0" distL="0" distR="0">
            <wp:extent cx="1899920" cy="22790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227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86139">
      <w:pPr>
        <w:spacing w:line="294" w:lineRule="auto"/>
        <w:rPr>
          <w:rFonts w:ascii="Arial"/>
          <w:sz w:val="21"/>
        </w:rPr>
      </w:pPr>
    </w:p>
    <w:p w14:paraId="4E3A6BA7">
      <w:pPr>
        <w:pStyle w:val="2"/>
        <w:spacing w:before="60" w:line="186" w:lineRule="auto"/>
      </w:pPr>
      <w:r>
        <w:rPr>
          <w:b/>
          <w:bCs/>
          <w:spacing w:val="-1"/>
        </w:rPr>
        <w:t>Western blot analysis of recombinant</w:t>
      </w:r>
    </w:p>
    <w:p w14:paraId="6116F599">
      <w:pPr>
        <w:pStyle w:val="2"/>
        <w:spacing w:before="125" w:line="186" w:lineRule="auto"/>
        <w:ind w:left="6"/>
      </w:pPr>
      <w:r>
        <w:rPr>
          <w:b/>
          <w:bCs/>
        </w:rPr>
        <w:t>CTNNB1 (D32N) and wildt</w:t>
      </w:r>
      <w:r>
        <w:rPr>
          <w:b/>
          <w:bCs/>
          <w:spacing w:val="-1"/>
        </w:rPr>
        <w:t>ype proteins.</w:t>
      </w:r>
    </w:p>
    <w:p w14:paraId="6B6F557E">
      <w:pPr>
        <w:pStyle w:val="2"/>
        <w:spacing w:before="53" w:line="292" w:lineRule="auto"/>
        <w:ind w:left="6" w:right="1012" w:hanging="5"/>
      </w:pPr>
      <w:r>
        <w:t>Purified His-tagged CTNNB1 (D32N) prot</w:t>
      </w:r>
      <w:r>
        <w:rPr>
          <w:spacing w:val="-1"/>
        </w:rPr>
        <w:t>ein</w:t>
      </w:r>
      <w:r>
        <w:t xml:space="preserve"> (lane2) and corresponding wild-type</w:t>
      </w:r>
      <w:r>
        <w:rPr>
          <w:spacing w:val="-1"/>
        </w:rPr>
        <w:t xml:space="preserve"> protein</w:t>
      </w:r>
    </w:p>
    <w:p w14:paraId="19F70EB8">
      <w:pPr>
        <w:pStyle w:val="2"/>
        <w:spacing w:before="37" w:line="292" w:lineRule="auto"/>
        <w:ind w:right="810" w:firstLine="6"/>
      </w:pPr>
      <w:r>
        <w:t>(lane1) were blotted with anti-CTN</w:t>
      </w:r>
      <w:r>
        <w:rPr>
          <w:spacing w:val="-1"/>
        </w:rPr>
        <w:t>NB1 (D32N)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#26303).</w:t>
      </w:r>
    </w:p>
    <w:p w14:paraId="28D49C23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4B56524C">
      <w:pPr>
        <w:spacing w:line="355" w:lineRule="auto"/>
        <w:rPr>
          <w:rFonts w:ascii="Arial"/>
          <w:sz w:val="21"/>
        </w:rPr>
      </w:pPr>
    </w:p>
    <w:p w14:paraId="4147120A">
      <w:pPr>
        <w:spacing w:line="356" w:lineRule="auto"/>
        <w:rPr>
          <w:rFonts w:ascii="Arial"/>
          <w:sz w:val="21"/>
        </w:rPr>
      </w:pPr>
    </w:p>
    <w:p w14:paraId="5A0D4AF7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1167607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124E249D">
      <w:pPr>
        <w:spacing w:line="118" w:lineRule="exact"/>
      </w:pPr>
    </w:p>
    <w:p w14:paraId="37AFC576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DA7F5F3">
      <w:pPr>
        <w:pStyle w:val="2"/>
        <w:spacing w:before="49" w:line="246" w:lineRule="auto"/>
        <w:ind w:left="230" w:right="1506" w:hanging="230"/>
      </w:pPr>
    </w:p>
    <w:p w14:paraId="3BBC4B6A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582C486B">
      <w:pPr>
        <w:spacing w:line="1305" w:lineRule="exact"/>
        <w:ind w:firstLine="540"/>
      </w:pPr>
    </w:p>
    <w:p w14:paraId="5976C234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570C95A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68517C41">
      <w:pPr>
        <w:spacing w:before="140" w:line="4206" w:lineRule="exact"/>
        <w:ind w:firstLine="607"/>
      </w:pPr>
      <w:r>
        <w:rPr>
          <w:position w:val="-84"/>
        </w:rPr>
        <w:drawing>
          <wp:inline distT="0" distB="0" distL="0" distR="0">
            <wp:extent cx="2621280" cy="26708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67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DDF38">
      <w:pPr>
        <w:pStyle w:val="2"/>
        <w:spacing w:before="146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5A15CDFB">
      <w:pPr>
        <w:pStyle w:val="2"/>
        <w:spacing w:before="123" w:line="275" w:lineRule="auto"/>
        <w:ind w:left="539" w:right="5418" w:firstLine="8"/>
      </w:pPr>
      <w:r>
        <w:rPr>
          <w:b/>
          <w:bCs/>
        </w:rPr>
        <w:t>CTNNB1 proteins with anti</w:t>
      </w:r>
      <w:r>
        <w:rPr>
          <w:b/>
          <w:bCs/>
          <w:spacing w:val="-1"/>
        </w:rPr>
        <w:t>-CTNNB1 (D32N)</w:t>
      </w:r>
      <w:r>
        <w:rPr>
          <w:b/>
          <w:bCs/>
        </w:rPr>
        <w:t xml:space="preserve"> antibody. </w:t>
      </w:r>
      <w:r>
        <w:t>HEK293T cells were t</w:t>
      </w:r>
      <w:r>
        <w:rPr>
          <w:spacing w:val="-1"/>
        </w:rPr>
        <w:t>ransfected with</w:t>
      </w:r>
      <w:r>
        <w:t xml:space="preserve">  pCDNA3-GFP-CTNNB1 (WT) plasmid (left</w:t>
      </w:r>
    </w:p>
    <w:p w14:paraId="3F740011">
      <w:pPr>
        <w:pStyle w:val="2"/>
        <w:spacing w:before="36" w:line="276" w:lineRule="exact"/>
        <w:ind w:left="547"/>
      </w:pPr>
      <w:r>
        <w:rPr>
          <w:position w:val="3"/>
        </w:rPr>
        <w:t>column) or pCDNA3-GFP-CTNN</w:t>
      </w:r>
      <w:r>
        <w:rPr>
          <w:spacing w:val="-1"/>
          <w:position w:val="3"/>
        </w:rPr>
        <w:t>B1 (D32N)</w:t>
      </w:r>
    </w:p>
    <w:p w14:paraId="13E50102">
      <w:pPr>
        <w:pStyle w:val="2"/>
        <w:spacing w:before="36" w:line="276" w:lineRule="exact"/>
        <w:ind w:left="539"/>
      </w:pPr>
      <w:r>
        <w:rPr>
          <w:position w:val="3"/>
        </w:rPr>
        <w:t xml:space="preserve">plasmid (right column), then </w:t>
      </w:r>
      <w:r>
        <w:rPr>
          <w:spacing w:val="-1"/>
          <w:position w:val="3"/>
        </w:rPr>
        <w:t>fixed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and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stained</w:t>
      </w:r>
    </w:p>
    <w:p w14:paraId="29270A3A">
      <w:pPr>
        <w:pStyle w:val="2"/>
        <w:spacing w:before="37" w:line="292" w:lineRule="auto"/>
        <w:ind w:left="548" w:right="5344" w:hanging="7"/>
      </w:pPr>
      <w:r>
        <w:t>with anti-CTNNB1 (D32N) monoclonal antibody (Cat. #26303).</w:t>
      </w:r>
      <w:bookmarkStart w:id="0" w:name="_GoBack"/>
      <w:bookmarkEnd w:id="0"/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57CFBD7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C6324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263</Words>
  <Characters>1708</Characters>
  <TotalTime>1</TotalTime>
  <ScaleCrop>false</ScaleCrop>
  <LinksUpToDate>false</LinksUpToDate>
  <CharactersWithSpaces>1965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2014-05-21T10:25:00Z</dcterms:created>
  <dc:creator>Administrator</dc:creator>
  <cp:lastModifiedBy>周亿福</cp:lastModifiedBy>
  <dcterms:modified xsi:type="dcterms:W3CDTF">2025-08-14T07:34:06Z</dcterms:modified>
  <dc:title>Microsoft Word - 26303 CTNNB1 _D32N_ 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9B79C50228FE407AB268F29A4DC92A9B_12</vt:lpwstr>
  </property>
</Properties>
</file>